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 и уголовного преследования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Густомясовой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 участием: государственного обвинителя помощника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Захарцева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защитни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 –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Непрядина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заявление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Матвеевой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подписки о невыезде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«В»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Матвеева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обвиняется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UserDefinedgrp-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в состоянии алкогольного опьянения, находясь на кухне квартиры №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Сургута 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 – Югры, в ходе ссоры, возникшей на почве личных неприяз</w:t>
      </w:r>
      <w:r>
        <w:rPr>
          <w:rFonts w:ascii="Times New Roman" w:eastAsia="Times New Roman" w:hAnsi="Times New Roman" w:cs="Times New Roman"/>
          <w:sz w:val="26"/>
          <w:szCs w:val="26"/>
        </w:rPr>
        <w:t>ненных отношений с сожителем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имея умысел, направленный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причинение физической боли и телесных повреждений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осознавая общественно-опасный характер своих действий, предвидя наступление общественно опасных последствий в виде причинения телесных повреждений и физической боли, и желая этого, понимая незаконность и противоправность своих действий, находясь в непосредственной близости от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умышленно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схватила со стола нож и удерживая в руке, применяя его как предмет используемый в качестве оружия, нанесла один удар указанным ножом в область левого бедра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В.Н., в результате чего последний получил телесное повреждение в виде раны на левом бедре, причинившее легкий вред здоровью по признаку временного нарушения функций органов и систем продолжительностью до трех недель от момента причинения травмы (</w:t>
      </w:r>
      <w:r>
        <w:rPr>
          <w:rFonts w:ascii="Times New Roman" w:eastAsia="Times New Roman" w:hAnsi="Times New Roman" w:cs="Times New Roman"/>
          <w:sz w:val="26"/>
          <w:szCs w:val="26"/>
        </w:rPr>
        <w:t>до 21 дня включительно).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«В»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умышленное причинение </w:t>
      </w:r>
      <w:r>
        <w:rPr>
          <w:rFonts w:ascii="Times New Roman" w:eastAsia="Times New Roman" w:hAnsi="Times New Roman" w:cs="Times New Roman"/>
          <w:sz w:val="26"/>
          <w:szCs w:val="26"/>
        </w:rPr>
        <w:t>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причинённый преступлением вред заглажен, </w:t>
      </w:r>
      <w:r>
        <w:rPr>
          <w:rFonts w:ascii="Times New Roman" w:eastAsia="Times New Roman" w:hAnsi="Times New Roman" w:cs="Times New Roman"/>
          <w:sz w:val="26"/>
          <w:szCs w:val="26"/>
        </w:rPr>
        <w:t>принесены извинения,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претензий к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Матвееву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ривлекать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желает, так как он </w:t>
      </w:r>
      <w:r>
        <w:rPr>
          <w:rFonts w:ascii="Times New Roman" w:eastAsia="Times New Roman" w:hAnsi="Times New Roman" w:cs="Times New Roman"/>
          <w:sz w:val="26"/>
          <w:szCs w:val="26"/>
        </w:rPr>
        <w:t>принял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извинения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заявлено добровольно и осознано.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Матвеева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под</w:t>
      </w:r>
      <w:r>
        <w:rPr>
          <w:rFonts w:ascii="Times New Roman" w:eastAsia="Times New Roman" w:hAnsi="Times New Roman" w:cs="Times New Roman"/>
          <w:sz w:val="26"/>
          <w:szCs w:val="26"/>
        </w:rPr>
        <w:t>держал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заявление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дела, при этом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последствия прекращения уголовного дела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и понятны, против прекращения дела в связи с примирением сторон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возражает,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принесения </w:t>
      </w:r>
      <w:r>
        <w:rPr>
          <w:rFonts w:ascii="Times New Roman" w:eastAsia="Times New Roman" w:hAnsi="Times New Roman" w:cs="Times New Roman"/>
          <w:sz w:val="26"/>
          <w:szCs w:val="26"/>
        </w:rPr>
        <w:t>извинений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вследствие чего они примирились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содеянном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защитник поддержал 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сторон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возражал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ленного ходатайства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все законные основания для этого имеются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уголовного дела, заслушав стороны, суд приходит к следующему выводу.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25 УПК РФ суд вправе на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основании заявления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п.2.1, 10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</w:rPr>
        <w:t>27.06.2013 № 19 «О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од заглаживанием вреда (часть 1 статьи 75, статья 76.2 УК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Способы заглаживания вреда, а 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мнение сторон, суд приходит к выводу о том,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атвеевой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 полностью подтверждена собранными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разрешении вопроса об освобождени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атвеевой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уголовной ответственности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отсутствуют основания для признания отягчающим ответственность обстоятельством нахождение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состоянии алкогольного опьянения, так как такое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атвеевой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подтверждено материалами дела и исходя из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атвеевой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повлияло на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 явилось причиной совершения противоправных действий,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смягчающих обстоятельств в виде заглаживания вреда, причиненного преступлением,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принесения извинений,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вины, раскаяние в содеянном,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малолетнего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ребенка,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оказание помощи потерпевшему непосредственно после совершения преступления,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не судим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преступление впервые,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постоянное место жите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характеризуется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положительно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МБДО № 70 «Голубок»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характеризуется положительно,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примирил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причинённый преступлением </w:t>
      </w:r>
      <w:r>
        <w:rPr>
          <w:rFonts w:ascii="Times New Roman" w:eastAsia="Times New Roman" w:hAnsi="Times New Roman" w:cs="Times New Roman"/>
          <w:sz w:val="26"/>
          <w:szCs w:val="26"/>
        </w:rPr>
        <w:t>вред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заявление о прекращении уголовного дела в связи с примирением сторон, которое заявлено добровольно и осознано.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находит возможным удовлетв</w:t>
      </w:r>
      <w:r>
        <w:rPr>
          <w:rFonts w:ascii="Times New Roman" w:eastAsia="Times New Roman" w:hAnsi="Times New Roman" w:cs="Times New Roman"/>
          <w:sz w:val="26"/>
          <w:szCs w:val="26"/>
        </w:rPr>
        <w:t>орить ходатайство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прекратить уголовное дело в связи с примирением сторон.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</w:t>
      </w:r>
      <w:r>
        <w:rPr>
          <w:rFonts w:ascii="Times New Roman" w:eastAsia="Times New Roman" w:hAnsi="Times New Roman" w:cs="Times New Roman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уничтожить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Гражданский иск не заявлен.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Матвееву </w:t>
      </w:r>
      <w:r>
        <w:rPr>
          <w:rStyle w:val="cat-UserDefinedgrp-2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обвинению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«В»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 в связи с примирением сторон.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Меру пресечения в отно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6"/>
          <w:szCs w:val="26"/>
        </w:rPr>
        <w:t>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Вещественно</w:t>
      </w:r>
      <w:r>
        <w:rPr>
          <w:rFonts w:ascii="Times New Roman" w:eastAsia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уничтожить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его провозглашения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8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9657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jc w:val="center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6rplc-18">
    <w:name w:val="cat-UserDefined grp-6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05E9-032D-402E-804B-9AE6AD8C4BD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